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839" w:rsidRPr="00FC6839" w:rsidRDefault="00FC6839" w:rsidP="00FC6839">
      <w:pPr>
        <w:pStyle w:val="2"/>
        <w:jc w:val="right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0" w:name="_Toc247674285"/>
      <w:bookmarkStart w:id="1" w:name="_Toc266451006"/>
      <w:r w:rsidRPr="00AB2B1A">
        <w:rPr>
          <w:rFonts w:ascii="Times New Roman" w:hAnsi="Times New Roman"/>
          <w:color w:val="auto"/>
          <w:sz w:val="28"/>
          <w:szCs w:val="28"/>
        </w:rPr>
        <w:t xml:space="preserve">Приложение </w:t>
      </w:r>
      <w:bookmarkEnd w:id="0"/>
      <w:bookmarkEnd w:id="1"/>
      <w:r>
        <w:rPr>
          <w:rFonts w:ascii="Times New Roman" w:hAnsi="Times New Roman"/>
          <w:color w:val="auto"/>
          <w:sz w:val="28"/>
          <w:szCs w:val="28"/>
          <w:lang w:val="ru-RU"/>
        </w:rPr>
        <w:t>6</w:t>
      </w:r>
    </w:p>
    <w:p w:rsidR="00FC6839" w:rsidRPr="008A4A76" w:rsidRDefault="00FC6839" w:rsidP="00FC683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8A4A76">
        <w:rPr>
          <w:b/>
          <w:szCs w:val="28"/>
        </w:rPr>
        <w:t>Требуемые технические показатели гидрогенераторов</w:t>
      </w:r>
      <w:bookmarkStart w:id="2" w:name="_GoBack"/>
      <w:bookmarkEnd w:id="2"/>
    </w:p>
    <w:tbl>
      <w:tblPr>
        <w:tblW w:w="13827" w:type="dxa"/>
        <w:jc w:val="right"/>
        <w:tblInd w:w="-4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7165"/>
      </w:tblGrid>
      <w:tr w:rsidR="00FC6839" w:rsidRPr="00AB2B1A" w:rsidTr="004024B4">
        <w:trPr>
          <w:tblHeader/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Показатель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показателя</w:t>
            </w:r>
          </w:p>
        </w:tc>
      </w:tr>
      <w:tr w:rsidR="00FC6839" w:rsidRPr="00AB2B1A" w:rsidTr="004024B4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Срок эксплуатации между капитальными ремонтами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Не менее 7 лет</w:t>
            </w:r>
          </w:p>
        </w:tc>
      </w:tr>
      <w:tr w:rsidR="00FC6839" w:rsidRPr="00AB2B1A" w:rsidTr="004024B4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КПД, %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Не менее 97</w:t>
            </w:r>
          </w:p>
        </w:tc>
      </w:tr>
      <w:tr w:rsidR="00FC6839" w:rsidRPr="00AB2B1A" w:rsidTr="004024B4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Диапазон частот, при которых должна сохраняться номинальная мощность, Гц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48,75–51,25</w:t>
            </w:r>
          </w:p>
        </w:tc>
      </w:tr>
      <w:tr w:rsidR="00FC6839" w:rsidRPr="00AB2B1A" w:rsidTr="004024B4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Диапазон изменения напряжения, в пределах, %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-5/+10</w:t>
            </w:r>
          </w:p>
        </w:tc>
      </w:tr>
      <w:tr w:rsidR="00FC6839" w:rsidRPr="00AB2B1A" w:rsidTr="004024B4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Значение номинального коэффициента мощности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В </w:t>
            </w:r>
            <w:proofErr w:type="gramStart"/>
            <w:r w:rsidRPr="00AB2B1A">
              <w:rPr>
                <w:szCs w:val="28"/>
              </w:rPr>
              <w:t>соответствии</w:t>
            </w:r>
            <w:proofErr w:type="gramEnd"/>
            <w:r w:rsidRPr="00AB2B1A">
              <w:rPr>
                <w:szCs w:val="28"/>
              </w:rPr>
              <w:t xml:space="preserve"> с ГОСТ 5616-89</w:t>
            </w:r>
          </w:p>
        </w:tc>
      </w:tr>
      <w:tr w:rsidR="00FC6839" w:rsidRPr="00AB2B1A" w:rsidTr="004024B4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Регулирование активной мощности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Возможность регулирования коэффициента мощности от 0,85 до 1,0</w:t>
            </w:r>
          </w:p>
        </w:tc>
      </w:tr>
      <w:tr w:rsidR="00FC6839" w:rsidRPr="00AB2B1A" w:rsidTr="004024B4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Регулирование реактивной мощности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Должна быть предусмотрена работа:</w:t>
            </w:r>
          </w:p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- в режиме СК;</w:t>
            </w:r>
          </w:p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 xml:space="preserve">- в режиме генерации с потребителями реактивной мощности вплоть </w:t>
            </w:r>
            <w:proofErr w:type="gramStart"/>
            <w:r w:rsidRPr="00AB2B1A">
              <w:rPr>
                <w:szCs w:val="28"/>
              </w:rPr>
              <w:t>до</w:t>
            </w:r>
            <w:proofErr w:type="gramEnd"/>
            <w:r w:rsidRPr="00AB2B1A">
              <w:rPr>
                <w:szCs w:val="28"/>
              </w:rPr>
              <w:t xml:space="preserve"> номинальной.</w:t>
            </w:r>
          </w:p>
        </w:tc>
      </w:tr>
      <w:tr w:rsidR="00FC6839" w:rsidRPr="00AB2B1A" w:rsidTr="004024B4">
        <w:trPr>
          <w:jc w:val="right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Охлаждение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Воздух (вода)</w:t>
            </w:r>
          </w:p>
        </w:tc>
      </w:tr>
    </w:tbl>
    <w:p w:rsidR="00FC6839" w:rsidRDefault="00FC6839" w:rsidP="00FC683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</w:p>
    <w:p w:rsidR="00FC6839" w:rsidRDefault="00FC6839" w:rsidP="00FC6839">
      <w:pPr>
        <w:spacing w:after="0" w:line="240" w:lineRule="auto"/>
        <w:rPr>
          <w:szCs w:val="28"/>
        </w:rPr>
      </w:pPr>
      <w:r>
        <w:rPr>
          <w:szCs w:val="28"/>
        </w:rPr>
        <w:br w:type="page"/>
      </w:r>
    </w:p>
    <w:p w:rsidR="00FC6839" w:rsidRPr="000A454C" w:rsidRDefault="00FC6839" w:rsidP="00FC683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proofErr w:type="gramStart"/>
      <w:r w:rsidRPr="000A454C">
        <w:rPr>
          <w:b/>
          <w:szCs w:val="28"/>
        </w:rPr>
        <w:lastRenderedPageBreak/>
        <w:t>Требуемые технические показатели гидросилового оборудования</w:t>
      </w:r>
      <w:proofErr w:type="gramEnd"/>
    </w:p>
    <w:tbl>
      <w:tblPr>
        <w:tblW w:w="0" w:type="auto"/>
        <w:jc w:val="right"/>
        <w:tblInd w:w="-4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7165"/>
      </w:tblGrid>
      <w:tr w:rsidR="00FC6839" w:rsidRPr="00AB2B1A" w:rsidTr="004024B4">
        <w:trPr>
          <w:tblHeader/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Характеристика показателя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Срок эксплуатации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40 лет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Срок эксплуатации между капитальными ремонтами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7 лет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 xml:space="preserve">Средняя наработка на отказ, </w:t>
            </w:r>
            <w:proofErr w:type="gramStart"/>
            <w:r w:rsidRPr="00E13D40">
              <w:rPr>
                <w:sz w:val="24"/>
                <w:szCs w:val="24"/>
              </w:rPr>
              <w:t>ч</w:t>
            </w:r>
            <w:proofErr w:type="gramEnd"/>
            <w:r w:rsidRPr="00E13D40">
              <w:rPr>
                <w:sz w:val="24"/>
                <w:szCs w:val="24"/>
              </w:rPr>
              <w:t>:</w:t>
            </w:r>
          </w:p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- для пикового режима работы</w:t>
            </w:r>
          </w:p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- для полупикового режима работы</w:t>
            </w:r>
          </w:p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- для базового режима работы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2500</w:t>
            </w:r>
            <w:proofErr w:type="gramStart"/>
            <w:r w:rsidRPr="00E13D40">
              <w:rPr>
                <w:sz w:val="24"/>
                <w:szCs w:val="24"/>
              </w:rPr>
              <w:br/>
              <w:t>Н</w:t>
            </w:r>
            <w:proofErr w:type="gramEnd"/>
            <w:r w:rsidRPr="00E13D40">
              <w:rPr>
                <w:sz w:val="24"/>
                <w:szCs w:val="24"/>
              </w:rPr>
              <w:t>е менее 3700</w:t>
            </w:r>
            <w:r w:rsidRPr="00E13D40">
              <w:rPr>
                <w:sz w:val="24"/>
                <w:szCs w:val="24"/>
              </w:rPr>
              <w:br/>
              <w:t>Не менее 8000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Коэффициент готовности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0,97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Коэффициент технического использования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0,93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КПД, %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93–96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Число пусков/остановов в год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750/750</w:t>
            </w:r>
          </w:p>
        </w:tc>
      </w:tr>
      <w:tr w:rsidR="00FC683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C6839" w:rsidRPr="00E13D40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 xml:space="preserve">Требования к конструкции с </w:t>
            </w:r>
            <w:proofErr w:type="spellStart"/>
            <w:r w:rsidRPr="00E13D40">
              <w:rPr>
                <w:b/>
                <w:sz w:val="24"/>
                <w:szCs w:val="24"/>
              </w:rPr>
              <w:t>безмасляной</w:t>
            </w:r>
            <w:proofErr w:type="spellEnd"/>
            <w:r w:rsidRPr="00E13D40">
              <w:rPr>
                <w:b/>
                <w:sz w:val="24"/>
                <w:szCs w:val="24"/>
              </w:rPr>
              <w:t xml:space="preserve"> втулкой РК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Внутренняя поверхность должна иметь защиту от коррозии со сроком действия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40 лет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Втулки подшипников механизма разворота лопастей должны быть изготовлены из материала, обеспечивающего работоспособность узлов без замены и ремонта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20 лет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Цапфы лопастей рабочего колеса, шток и направляющие шпонки должны быть облицованы нержавеющей сталью, путем наплавки с образованием рабочего слоя толщиной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10 мм</w:t>
            </w:r>
          </w:p>
        </w:tc>
      </w:tr>
      <w:tr w:rsidR="00FC683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C6839" w:rsidRPr="00E13D40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Требования к конструкции с маслонаполненной втулкой поворотно-лопастного РК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Втулки подшипников механизма разворота лопастей должны обеспечивать работоспособность узлов трения без замены и ремонта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20 лет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Износ вкладышей подшипников механизма поворота (провисание лопастей) не должен превышать величины, обеспечивающей надежную работу лопастей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20 лет</w:t>
            </w:r>
          </w:p>
        </w:tc>
      </w:tr>
      <w:tr w:rsidR="00FC683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C6839" w:rsidRPr="00E13D40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lastRenderedPageBreak/>
              <w:t>Требования к валу гидроагрегата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Вал в зоне шейки турбинного подшипника на водяной смазке должен иметь облицовку из нержавеющей стали (после обработки) выполненную методом наплавки толщиной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5 мм</w:t>
            </w:r>
          </w:p>
        </w:tc>
      </w:tr>
      <w:tr w:rsidR="00FC683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C6839" w:rsidRPr="00E13D40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 w:val="24"/>
                <w:szCs w:val="24"/>
              </w:rPr>
            </w:pPr>
            <w:r w:rsidRPr="00E13D40">
              <w:rPr>
                <w:b/>
                <w:sz w:val="24"/>
                <w:szCs w:val="24"/>
              </w:rPr>
              <w:t>Требования к направляющему подшипнику турбины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Антифрикционный материал вкладышей, конструкция ванны, опорных узлов вкладыша и уплотнения вала должны обеспечивать надежную работу подшипника без ремонта и регулировки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7 лет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Технология и качество изготовления, применяемые материалы и конструкция системы смазки и охлаждения должны обеспечить работоспособность облицовки вала без ремонта и замены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E13D40" w:rsidRDefault="00FC6839" w:rsidP="004024B4">
            <w:pPr>
              <w:spacing w:before="20" w:after="20" w:line="240" w:lineRule="auto"/>
              <w:jc w:val="center"/>
              <w:rPr>
                <w:sz w:val="24"/>
                <w:szCs w:val="24"/>
              </w:rPr>
            </w:pPr>
            <w:r w:rsidRPr="00E13D40">
              <w:rPr>
                <w:sz w:val="24"/>
                <w:szCs w:val="24"/>
              </w:rPr>
              <w:t>Не менее 20 лет</w:t>
            </w:r>
          </w:p>
        </w:tc>
      </w:tr>
    </w:tbl>
    <w:p w:rsidR="00FC6839" w:rsidRPr="00AB2B1A" w:rsidRDefault="00FC6839" w:rsidP="00FC683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szCs w:val="28"/>
        </w:rPr>
      </w:pPr>
      <w:r>
        <w:rPr>
          <w:szCs w:val="28"/>
        </w:rPr>
        <w:br w:type="page"/>
      </w:r>
    </w:p>
    <w:p w:rsidR="00FC6839" w:rsidRPr="000A454C" w:rsidRDefault="00FC6839" w:rsidP="00FC6839">
      <w:p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b/>
          <w:szCs w:val="28"/>
        </w:rPr>
      </w:pPr>
      <w:r w:rsidRPr="000A454C">
        <w:rPr>
          <w:b/>
          <w:szCs w:val="28"/>
        </w:rPr>
        <w:lastRenderedPageBreak/>
        <w:t>Требуемые технические характеристики гидромеханического оборудования</w:t>
      </w:r>
    </w:p>
    <w:tbl>
      <w:tblPr>
        <w:tblW w:w="0" w:type="auto"/>
        <w:jc w:val="right"/>
        <w:tblInd w:w="-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7165"/>
      </w:tblGrid>
      <w:tr w:rsidR="00FC6839" w:rsidRPr="00AB2B1A" w:rsidTr="004024B4">
        <w:trPr>
          <w:tblHeader/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Показатель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Характеристика показателя</w:t>
            </w:r>
          </w:p>
        </w:tc>
      </w:tr>
      <w:tr w:rsidR="00FC683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C6839" w:rsidRPr="00AB2B1A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Затворы, решетки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Срок эксплуатации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 25 лет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Срок службы антикоррозионного покрытия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 15 лет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Водонепроницаемость затвора и мест сопряжения его с частями сооружения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более 0,3 л/с на 1 погонный метр сопряжения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proofErr w:type="spellStart"/>
            <w:r w:rsidRPr="00AB2B1A">
              <w:rPr>
                <w:szCs w:val="28"/>
              </w:rPr>
              <w:t>Водопоглощение</w:t>
            </w:r>
            <w:proofErr w:type="spellEnd"/>
            <w:r w:rsidRPr="00AB2B1A">
              <w:rPr>
                <w:szCs w:val="28"/>
              </w:rPr>
              <w:t xml:space="preserve"> материала втулок (подшипников скольжения) рабочих колес балансирных тележек и боковых колес, %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более 19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Предельное объемное разбухание материала втулок (подшипников скольжения) рабочих колёс балансирных тележек и боковых колес, %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более 22</w:t>
            </w:r>
          </w:p>
        </w:tc>
      </w:tr>
      <w:tr w:rsidR="00FC6839" w:rsidRPr="00AB2B1A" w:rsidTr="004024B4">
        <w:trPr>
          <w:jc w:val="right"/>
        </w:trPr>
        <w:tc>
          <w:tcPr>
            <w:tcW w:w="1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C6839" w:rsidRPr="00AB2B1A" w:rsidRDefault="00FC6839" w:rsidP="004024B4">
            <w:pPr>
              <w:keepNext/>
              <w:spacing w:before="20" w:after="20" w:line="240" w:lineRule="auto"/>
              <w:jc w:val="center"/>
              <w:rPr>
                <w:b/>
                <w:szCs w:val="28"/>
              </w:rPr>
            </w:pPr>
            <w:r w:rsidRPr="00AB2B1A">
              <w:rPr>
                <w:b/>
                <w:szCs w:val="28"/>
              </w:rPr>
              <w:t>Крановое оборудование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Срок эксплуатации для электрооборудования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 30 лет</w:t>
            </w:r>
          </w:p>
        </w:tc>
      </w:tr>
      <w:tr w:rsidR="00FC6839" w:rsidRPr="00AB2B1A" w:rsidTr="004024B4">
        <w:trPr>
          <w:jc w:val="right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rPr>
                <w:szCs w:val="28"/>
              </w:rPr>
            </w:pPr>
            <w:r w:rsidRPr="00AB2B1A">
              <w:rPr>
                <w:szCs w:val="28"/>
              </w:rPr>
              <w:t>Срок эксплуатации для несущих конструкций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839" w:rsidRPr="00AB2B1A" w:rsidRDefault="00FC6839" w:rsidP="004024B4">
            <w:pPr>
              <w:spacing w:before="20" w:after="20" w:line="240" w:lineRule="auto"/>
              <w:jc w:val="center"/>
              <w:rPr>
                <w:szCs w:val="28"/>
              </w:rPr>
            </w:pPr>
            <w:r w:rsidRPr="00AB2B1A">
              <w:rPr>
                <w:szCs w:val="28"/>
              </w:rPr>
              <w:t>Не менее 50 лет</w:t>
            </w:r>
          </w:p>
        </w:tc>
      </w:tr>
    </w:tbl>
    <w:p w:rsidR="00E250CE" w:rsidRDefault="00FC6839"/>
    <w:sectPr w:rsidR="00E250CE" w:rsidSect="00FC68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823"/>
    <w:rsid w:val="00887D94"/>
    <w:rsid w:val="00A66823"/>
    <w:rsid w:val="00E65BC5"/>
    <w:rsid w:val="00FC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39"/>
    <w:rPr>
      <w:rFonts w:ascii="Times New Roman" w:eastAsia="Times New Roman" w:hAnsi="Times New Roman" w:cs="Times New Roman"/>
      <w:sz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FC683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FC6839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39"/>
    <w:rPr>
      <w:rFonts w:ascii="Times New Roman" w:eastAsia="Times New Roman" w:hAnsi="Times New Roman" w:cs="Times New Roman"/>
      <w:sz w:val="28"/>
    </w:rPr>
  </w:style>
  <w:style w:type="paragraph" w:styleId="2">
    <w:name w:val="heading 2"/>
    <w:aliases w:val="Знак Знак,ç2,H2,h2,Numbered text 3,H21,h21,Numbered text 31,H22,h22,Numbered text 32,H211,h211,Numbered text 311,H23,h23,Numbered text 33,H212,h212,Numbered text 312,H24,h24,Numbered text 34,H25,h25,Numbered text 35,H26,h26,Numbered text 36"/>
    <w:basedOn w:val="a"/>
    <w:next w:val="a"/>
    <w:link w:val="20"/>
    <w:uiPriority w:val="99"/>
    <w:unhideWhenUsed/>
    <w:qFormat/>
    <w:rsid w:val="00FC683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 Знак Знак,ç2 Знак,H2 Знак,h2 Знак,Numbered text 3 Знак,H21 Знак,h21 Знак,Numbered text 31 Знак,H22 Знак,h22 Знак,Numbered text 32 Знак,H211 Знак,h211 Знак,Numbered text 311 Знак,H23 Знак,h23 Знак,Numbered text 33 Знак,H212 Знак"/>
    <w:basedOn w:val="a0"/>
    <w:link w:val="2"/>
    <w:uiPriority w:val="99"/>
    <w:rsid w:val="00FC6839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509</Words>
  <Characters>2906</Characters>
  <Application>Microsoft Office Word</Application>
  <DocSecurity>0</DocSecurity>
  <Lines>24</Lines>
  <Paragraphs>6</Paragraphs>
  <ScaleCrop>false</ScaleCrop>
  <Company>JSC "RAO Energy system of EAST"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kolcheev_pa</dc:creator>
  <cp:keywords/>
  <dc:description/>
  <cp:lastModifiedBy>kolcheev_pa</cp:lastModifiedBy>
  <cp:revision>2</cp:revision>
  <dcterms:created xsi:type="dcterms:W3CDTF">2013-11-14T13:12:00Z</dcterms:created>
  <dcterms:modified xsi:type="dcterms:W3CDTF">2013-11-14T13:12:00Z</dcterms:modified>
</cp:coreProperties>
</file>